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15" w:rsidRDefault="00AB2D15" w:rsidP="00BE02AE">
      <w:pPr>
        <w:spacing w:after="0" w:line="240" w:lineRule="auto"/>
        <w:jc w:val="center"/>
        <w:rPr>
          <w:rFonts w:ascii="PF Din Text Cond Pro Light" w:eastAsia="Times New Roman" w:hAnsi="PF Din Text Cond Pro Light" w:cs="Times New Roman"/>
          <w:b/>
          <w:sz w:val="26"/>
          <w:szCs w:val="26"/>
          <w:lang w:val="en-US" w:eastAsia="ru-RU"/>
        </w:rPr>
      </w:pPr>
      <w:bookmarkStart w:id="0" w:name="_GoBack"/>
      <w:bookmarkEnd w:id="0"/>
    </w:p>
    <w:p w:rsidR="00AB2D15" w:rsidRDefault="00AB2D15" w:rsidP="00BE02AE">
      <w:pPr>
        <w:spacing w:after="0" w:line="240" w:lineRule="auto"/>
        <w:jc w:val="center"/>
        <w:rPr>
          <w:rFonts w:ascii="PF Din Text Cond Pro Light" w:eastAsia="Times New Roman" w:hAnsi="PF Din Text Cond Pro Light" w:cs="Times New Roman"/>
          <w:b/>
          <w:sz w:val="26"/>
          <w:szCs w:val="26"/>
          <w:lang w:val="en-US" w:eastAsia="ru-RU"/>
        </w:rPr>
      </w:pPr>
    </w:p>
    <w:p w:rsidR="00BE02AE" w:rsidRPr="00BE02AE" w:rsidRDefault="00BE02AE" w:rsidP="00BE02AE">
      <w:pPr>
        <w:spacing w:after="0" w:line="240" w:lineRule="auto"/>
        <w:jc w:val="center"/>
        <w:rPr>
          <w:rFonts w:ascii="PF Din Text Cond Pro Light" w:eastAsia="Times New Roman" w:hAnsi="PF Din Text Cond Pro Light" w:cs="Times New Roman"/>
          <w:b/>
          <w:sz w:val="26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b/>
          <w:sz w:val="26"/>
          <w:szCs w:val="26"/>
          <w:lang w:eastAsia="ru-RU"/>
        </w:rPr>
        <w:t xml:space="preserve">Изменения в законодательстве о государственной регистрации юридических лиц и индивидуальных предпринимателей 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Arial"/>
          <w:sz w:val="26"/>
          <w:szCs w:val="26"/>
          <w:lang w:eastAsia="ru-RU"/>
        </w:rPr>
      </w:pP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Arial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Arial"/>
          <w:sz w:val="24"/>
          <w:szCs w:val="26"/>
          <w:lang w:eastAsia="ru-RU"/>
        </w:rPr>
        <w:t>Вступил в силу ряд изменений по государственной регистрации юридических лиц, направленных  на противодействие злоупотреблениям в сфере государственной регистрации. Цель этих изменений - предотвращение создания и деятельности фиктивных организаций, регистрации их на подставных лиц и обеспечение достоверности самых востребованных федеральных информационных ресурсов – реестров юридических лиц (ЮЛ) и индивидуальных предпринимателей (ИП).</w:t>
      </w:r>
    </w:p>
    <w:p w:rsidR="00BE02AE" w:rsidRPr="00BE02AE" w:rsidRDefault="00BE02AE" w:rsidP="00BE02AE">
      <w:pPr>
        <w:spacing w:after="0" w:line="240" w:lineRule="auto"/>
        <w:ind w:firstLine="709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С нового года регистрирующий орган получает право на проверку достоверности данных, предоставляемых для включения в ЕГРЮЛ при наличии сомнений в достоверности представленных сведений.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Вводится процедура предварительного уведомления об изменении места нахождения юридического лица. Регистрация изменения места нахождения юридического лица будет осуществляться инспекцией по новому месту нахождения.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Вступают в силу положения, предусматривающие дополнительные основания для отказа в государственной регистрации для определённых категорий лиц, задействованных ранее в деятельности юридических лиц, нарушавших законодательство.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 xml:space="preserve">Законодателем внесены изменения в Закон №14-ФЗ «Об обществах с ограниченной ответственностью», в соответствии с которым обязательному нотариальному удостоверению с 01 января 2016 года  подлежат: 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- факт принятия решения общего собрания участников ООО об увеличении уставного капитала и состав участников Общества, присутствовавших при принятии указанного решения;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- требование участника Общества, голосовавшего против принятия решения о совершении крупной сделки, либо не принимавшего участия в голосовании, о выкупе Обществом у этого участника доли;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- заявление участника Общества о выходе из Общества;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>- предложения участников (оферта) о продаже/дарении доли и принятие её (акцепт).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"/>
          <w:sz w:val="24"/>
          <w:szCs w:val="26"/>
          <w:lang w:eastAsia="ru-RU"/>
        </w:rPr>
        <w:t xml:space="preserve">Важно отметить, что заявителем при государственной регистрации, в случае перехода доли или при оформлении залога на долю в уставном капитале, будет являться нотариус, который удостоверил сделку. 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Times New Roman CYR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 CYR"/>
          <w:sz w:val="24"/>
          <w:szCs w:val="26"/>
          <w:lang w:eastAsia="ru-RU"/>
        </w:rPr>
        <w:t>Основное нововведение, которое вступает в силу с 29 декабря 2015, является отсутствовавшее ранее в законодательстве РФ, понятие – «типовой устав». Теперь юридические лица могут действовать на основании типового устава, утвержденного уполномоченным государственным органом. При этом сведения о том, что юридическое лицо действует на основании типового устава, должны быть указаны в Едином государственном реестре юридических лиц.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Times New Roman CYR"/>
          <w:sz w:val="24"/>
          <w:szCs w:val="26"/>
          <w:lang w:eastAsia="ru-RU"/>
        </w:rPr>
        <w:t>Также  вводится нововведение – сокращение до трёх рабочих дней срока государственной регистрации при создании юридического лица или регистрации физического лица в качестве индивидуального предпринимателя</w:t>
      </w:r>
      <w:r w:rsidRPr="00BE02AE">
        <w:rPr>
          <w:rFonts w:ascii="Times New Roman CYR" w:eastAsia="Times New Roman" w:hAnsi="Times New Roman CYR" w:cs="Times New Roman CYR"/>
          <w:sz w:val="24"/>
          <w:szCs w:val="26"/>
          <w:lang w:eastAsia="ru-RU"/>
        </w:rPr>
        <w:t>.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Arial"/>
          <w:b/>
          <w:sz w:val="26"/>
          <w:szCs w:val="26"/>
          <w:lang w:eastAsia="ru-RU"/>
        </w:rPr>
      </w:pPr>
      <w:r w:rsidRPr="00BE02AE">
        <w:rPr>
          <w:rFonts w:ascii="PF Din Text Cond Pro Light" w:eastAsia="Times New Roman" w:hAnsi="PF Din Text Cond Pro Light" w:cs="Arial"/>
          <w:b/>
          <w:sz w:val="26"/>
          <w:szCs w:val="26"/>
          <w:lang w:eastAsia="ru-RU"/>
        </w:rPr>
        <w:t xml:space="preserve">                                   </w:t>
      </w:r>
    </w:p>
    <w:p w:rsidR="00BE02AE" w:rsidRPr="00BE02AE" w:rsidRDefault="00BE02AE" w:rsidP="00BE02AE">
      <w:pPr>
        <w:spacing w:after="0" w:line="240" w:lineRule="auto"/>
        <w:ind w:firstLine="720"/>
        <w:jc w:val="both"/>
        <w:rPr>
          <w:rFonts w:ascii="PF Din Text Cond Pro Light" w:eastAsia="Times New Roman" w:hAnsi="PF Din Text Cond Pro Light" w:cs="Arial"/>
          <w:b/>
          <w:sz w:val="26"/>
          <w:szCs w:val="26"/>
          <w:lang w:eastAsia="ru-RU"/>
        </w:rPr>
      </w:pPr>
    </w:p>
    <w:p w:rsidR="00BE02AE" w:rsidRPr="00BE02AE" w:rsidRDefault="00BE02AE" w:rsidP="00BE02AE">
      <w:pPr>
        <w:spacing w:after="0" w:line="240" w:lineRule="auto"/>
        <w:ind w:firstLine="720"/>
        <w:jc w:val="right"/>
        <w:rPr>
          <w:rFonts w:ascii="PF Din Text Cond Pro Light" w:eastAsia="Times New Roman" w:hAnsi="PF Din Text Cond Pro Light" w:cs="Times New Roman"/>
          <w:lang w:eastAsia="ru-RU"/>
        </w:rPr>
      </w:pPr>
      <w:r w:rsidRPr="00BE02AE">
        <w:rPr>
          <w:rFonts w:ascii="PF Din Text Cond Pro Light" w:eastAsia="Times New Roman" w:hAnsi="PF Din Text Cond Pro Light" w:cs="Arial"/>
          <w:b/>
          <w:sz w:val="24"/>
          <w:szCs w:val="26"/>
          <w:lang w:eastAsia="ru-RU"/>
        </w:rPr>
        <w:t xml:space="preserve">                             </w:t>
      </w:r>
      <w:r>
        <w:rPr>
          <w:rFonts w:ascii="PF Din Text Cond Pro Light" w:eastAsia="Times New Roman" w:hAnsi="PF Din Text Cond Pro Light" w:cs="Arial"/>
          <w:b/>
          <w:sz w:val="24"/>
          <w:szCs w:val="26"/>
          <w:lang w:eastAsia="ru-RU"/>
        </w:rPr>
        <w:t>Межрайонная ИФНС России №1 по Республике Бурятия</w:t>
      </w:r>
      <w:r w:rsidRPr="00BE02AE">
        <w:rPr>
          <w:rFonts w:ascii="PF Din Text Cond Pro Light" w:eastAsia="Times New Roman" w:hAnsi="PF Din Text Cond Pro Light" w:cs="Arial"/>
          <w:b/>
          <w:sz w:val="24"/>
          <w:szCs w:val="26"/>
          <w:lang w:eastAsia="ru-RU"/>
        </w:rPr>
        <w:t xml:space="preserve"> </w:t>
      </w:r>
    </w:p>
    <w:p w:rsidR="00466CAA" w:rsidRDefault="00466CAA"/>
    <w:sectPr w:rsidR="00466CAA" w:rsidSect="00881832">
      <w:pgSz w:w="11906" w:h="16838"/>
      <w:pgMar w:top="360" w:right="566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AE"/>
    <w:rsid w:val="00466CAA"/>
    <w:rsid w:val="0092433A"/>
    <w:rsid w:val="00AB2D15"/>
    <w:rsid w:val="00BE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Улзуева Ольга Викторовна</dc:creator>
  <cp:lastModifiedBy>Анжелика Владимировна Конюшкина</cp:lastModifiedBy>
  <cp:revision>2</cp:revision>
  <dcterms:created xsi:type="dcterms:W3CDTF">2015-12-24T08:50:00Z</dcterms:created>
  <dcterms:modified xsi:type="dcterms:W3CDTF">2015-12-24T08:50:00Z</dcterms:modified>
</cp:coreProperties>
</file>